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8140"/>
          <w:sz w:val="18"/>
        </w:rPr>
        <w:t>FREE SLA TEMPLATE</w:t>
      </w:r>
    </w:p>
    <w:p>
      <w:r>
        <w:rPr>
          <w:b/>
          <w:color w:val="131B25"/>
          <w:sz w:val="48"/>
        </w:rPr>
        <w:t>Service Level Agreement</w:t>
      </w:r>
    </w:p>
    <w:p>
      <w:pPr>
        <w:pBdr>
          <w:bottom w:val="single" w:sz="18" w:space="4" w:color="3BD671"/>
        </w:pBdr>
      </w:pPr>
      <w:r>
        <w:rPr>
          <w:color w:val="4A5768"/>
        </w:rPr>
        <w:t>[Provider Name] · [Service Name] · Version [1.0] · [Date]</w:t>
      </w:r>
    </w:p>
    <w:p>
      <w:r>
        <w:rPr>
          <w:i/>
          <w:color w:val="4A5768"/>
          <w:sz w:val="18"/>
        </w:rPr>
        <w:t>Replace everything in [square brackets] with your own details. The clauses are examples, not legal advice. Have the final agreement reviewed before signing.</w:t>
      </w:r>
    </w:p>
    <w:p>
      <w:pPr>
        <w:keepNext/>
        <w:spacing w:before="200"/>
      </w:pPr>
      <w:r>
        <w:rPr>
          <w:b/>
          <w:color w:val="158140"/>
          <w:sz w:val="26"/>
        </w:rPr>
        <w:t xml:space="preserve">1. </w:t>
      </w:r>
      <w:r>
        <w:rPr>
          <w:b/>
          <w:color w:val="131B25"/>
          <w:sz w:val="26"/>
        </w:rPr>
        <w:t>Agreement Overview and Parties</w:t>
      </w:r>
    </w:p>
    <w:p>
      <w:r>
        <w:t>This Service Level Agreement ("Agreement"), ID [Agreement ID], is between [Provider Name] ("Provider") and [Customer Name] ("Customer"). It covers [Service Name], takes effect on [Effective Date], and remains in force until replaced or terminated under Section 9.</w:t>
      </w:r>
    </w:p>
    <w:p>
      <w:pPr>
        <w:keepNext/>
        <w:spacing w:before="200"/>
      </w:pPr>
      <w:r>
        <w:rPr>
          <w:b/>
          <w:color w:val="158140"/>
          <w:sz w:val="26"/>
        </w:rPr>
        <w:t xml:space="preserve">2. </w:t>
      </w:r>
      <w:r>
        <w:rPr>
          <w:b/>
          <w:color w:val="131B25"/>
          <w:sz w:val="26"/>
        </w:rPr>
        <w:t>Services Covered</w:t>
      </w:r>
    </w:p>
    <w:p>
      <w:r>
        <w:t>The Provider will supply [hosting of the production website], [email support], and [monthly reports]. The following are excluded: [custom development], [customer-installed third-party software], and [on-site support].</w:t>
      </w:r>
    </w:p>
    <w:p>
      <w:pPr>
        <w:keepNext/>
        <w:spacing w:before="200"/>
      </w:pPr>
      <w:r>
        <w:rPr>
          <w:b/>
          <w:color w:val="158140"/>
          <w:sz w:val="26"/>
        </w:rPr>
        <w:t xml:space="preserve">3. </w:t>
      </w:r>
      <w:r>
        <w:rPr>
          <w:b/>
          <w:color w:val="131B25"/>
          <w:sz w:val="26"/>
        </w:rPr>
        <w:t>Service Level Targets</w:t>
      </w:r>
    </w:p>
    <w:p>
      <w:r>
        <w:t>The Provider will maintain [99.99%] availability for [Service Name] in each [calendar month]. Incident response and resolution times are measured from [customer report or monitoring detection] according to the following priorities:</w:t>
      </w:r>
    </w:p>
    <w:tbl>
      <w:tblPr>
        <w:tblStyle w:val="TableGrid"/>
        <w:tblW w:type="auto" w:w="0"/>
        <w:tblLayout w:type="fixed"/>
        <w:tblLook w:firstColumn="1" w:firstRow="1" w:lastColumn="0" w:lastRow="0" w:noHBand="0" w:noVBand="1" w:val="04A0"/>
      </w:tblPr>
      <w:tblGrid>
        <w:gridCol w:w="2409"/>
        <w:gridCol w:w="2409"/>
        <w:gridCol w:w="2409"/>
        <w:gridCol w:w="2409"/>
      </w:tblGrid>
      <w:tr>
        <w:tc>
          <w:tcPr>
            <w:tcW w:type="dxa" w:w="2409"/>
            <w:shd w:val="clear" w:color="auto" w:fill="131B25"/>
          </w:tcPr>
          <w:p>
            <w:pPr>
              <w:spacing w:before="60" w:after="60"/>
            </w:pPr>
            <w:r>
              <w:rPr>
                <w:b/>
                <w:color w:val="FFFFFF"/>
                <w:sz w:val="19"/>
              </w:rPr>
              <w:t>Priority</w:t>
            </w:r>
          </w:p>
        </w:tc>
        <w:tc>
          <w:tcPr>
            <w:tcW w:type="dxa" w:w="2409"/>
            <w:shd w:val="clear" w:color="auto" w:fill="131B25"/>
          </w:tcPr>
          <w:p>
            <w:pPr>
              <w:spacing w:before="60" w:after="60"/>
            </w:pPr>
            <w:r>
              <w:rPr>
                <w:b/>
                <w:color w:val="FFFFFF"/>
                <w:sz w:val="19"/>
              </w:rPr>
              <w:t>Definition</w:t>
            </w:r>
          </w:p>
        </w:tc>
        <w:tc>
          <w:tcPr>
            <w:tcW w:type="dxa" w:w="2409"/>
            <w:shd w:val="clear" w:color="auto" w:fill="131B25"/>
          </w:tcPr>
          <w:p>
            <w:pPr>
              <w:spacing w:before="60" w:after="60"/>
            </w:pPr>
            <w:r>
              <w:rPr>
                <w:b/>
                <w:color w:val="FFFFFF"/>
                <w:sz w:val="19"/>
              </w:rPr>
              <w:t>Response time</w:t>
            </w:r>
          </w:p>
        </w:tc>
        <w:tc>
          <w:tcPr>
            <w:tcW w:type="dxa" w:w="2409"/>
            <w:shd w:val="clear" w:color="auto" w:fill="131B25"/>
          </w:tcPr>
          <w:p>
            <w:pPr>
              <w:spacing w:before="60" w:after="60"/>
            </w:pPr>
            <w:r>
              <w:rPr>
                <w:b/>
                <w:color w:val="FFFFFF"/>
                <w:sz w:val="19"/>
              </w:rPr>
              <w:t>Resolution time</w:t>
            </w:r>
          </w:p>
        </w:tc>
      </w:tr>
      <w:tr>
        <w:tc>
          <w:tcPr>
            <w:tcW w:type="dxa" w:w="2409"/>
          </w:tcPr>
          <w:p>
            <w:pPr>
              <w:spacing w:before="60" w:after="60"/>
            </w:pPr>
            <w:r>
              <w:rPr>
                <w:sz w:val="19"/>
              </w:rPr>
              <w:t>Critical</w:t>
            </w:r>
          </w:p>
        </w:tc>
        <w:tc>
          <w:tcPr>
            <w:tcW w:type="dxa" w:w="2409"/>
          </w:tcPr>
          <w:p>
            <w:pPr>
              <w:spacing w:before="60" w:after="60"/>
            </w:pPr>
            <w:r>
              <w:rPr>
                <w:sz w:val="19"/>
              </w:rPr>
              <w:t>[Service unavailable]</w:t>
            </w:r>
          </w:p>
        </w:tc>
        <w:tc>
          <w:tcPr>
            <w:tcW w:type="dxa" w:w="2409"/>
          </w:tcPr>
          <w:p>
            <w:pPr>
              <w:spacing w:before="60" w:after="60"/>
            </w:pPr>
            <w:r>
              <w:rPr>
                <w:sz w:val="19"/>
              </w:rPr>
              <w:t>[15 minutes]</w:t>
            </w:r>
          </w:p>
        </w:tc>
        <w:tc>
          <w:tcPr>
            <w:tcW w:type="dxa" w:w="2409"/>
          </w:tcPr>
          <w:p>
            <w:pPr>
              <w:spacing w:before="60" w:after="60"/>
            </w:pPr>
            <w:r>
              <w:rPr>
                <w:sz w:val="19"/>
              </w:rPr>
              <w:t>[4 hours]</w:t>
            </w:r>
          </w:p>
        </w:tc>
      </w:tr>
      <w:tr>
        <w:tc>
          <w:tcPr>
            <w:tcW w:type="dxa" w:w="2409"/>
          </w:tcPr>
          <w:p>
            <w:pPr>
              <w:spacing w:before="60" w:after="60"/>
            </w:pPr>
            <w:r>
              <w:rPr>
                <w:sz w:val="19"/>
              </w:rPr>
              <w:t>Major</w:t>
            </w:r>
          </w:p>
        </w:tc>
        <w:tc>
          <w:tcPr>
            <w:tcW w:type="dxa" w:w="2409"/>
          </w:tcPr>
          <w:p>
            <w:pPr>
              <w:spacing w:before="60" w:after="60"/>
            </w:pPr>
            <w:r>
              <w:rPr>
                <w:sz w:val="19"/>
              </w:rPr>
              <w:t>[Major feature unavailable]</w:t>
            </w:r>
          </w:p>
        </w:tc>
        <w:tc>
          <w:tcPr>
            <w:tcW w:type="dxa" w:w="2409"/>
          </w:tcPr>
          <w:p>
            <w:pPr>
              <w:spacing w:before="60" w:after="60"/>
            </w:pPr>
            <w:r>
              <w:rPr>
                <w:sz w:val="19"/>
              </w:rPr>
              <w:t>[1 hour]</w:t>
            </w:r>
          </w:p>
        </w:tc>
        <w:tc>
          <w:tcPr>
            <w:tcW w:type="dxa" w:w="2409"/>
          </w:tcPr>
          <w:p>
            <w:pPr>
              <w:spacing w:before="60" w:after="60"/>
            </w:pPr>
            <w:r>
              <w:rPr>
                <w:sz w:val="19"/>
              </w:rPr>
              <w:t>[8 hours]</w:t>
            </w:r>
          </w:p>
        </w:tc>
      </w:tr>
      <w:tr>
        <w:tc>
          <w:tcPr>
            <w:tcW w:type="dxa" w:w="2409"/>
          </w:tcPr>
          <w:p>
            <w:pPr>
              <w:spacing w:before="60" w:after="60"/>
            </w:pPr>
            <w:r>
              <w:rPr>
                <w:sz w:val="19"/>
              </w:rPr>
              <w:t>Minor</w:t>
            </w:r>
          </w:p>
        </w:tc>
        <w:tc>
          <w:tcPr>
            <w:tcW w:type="dxa" w:w="2409"/>
          </w:tcPr>
          <w:p>
            <w:pPr>
              <w:spacing w:before="60" w:after="60"/>
            </w:pPr>
            <w:r>
              <w:rPr>
                <w:sz w:val="19"/>
              </w:rPr>
              <w:t>[Limited impact]</w:t>
            </w:r>
          </w:p>
        </w:tc>
        <w:tc>
          <w:tcPr>
            <w:tcW w:type="dxa" w:w="2409"/>
          </w:tcPr>
          <w:p>
            <w:pPr>
              <w:spacing w:before="60" w:after="60"/>
            </w:pPr>
            <w:r>
              <w:rPr>
                <w:sz w:val="19"/>
              </w:rPr>
              <w:t>[1 business day]</w:t>
            </w:r>
          </w:p>
        </w:tc>
        <w:tc>
          <w:tcPr>
            <w:tcW w:type="dxa" w:w="2409"/>
          </w:tcPr>
          <w:p>
            <w:pPr>
              <w:spacing w:before="60" w:after="60"/>
            </w:pPr>
            <w:r>
              <w:rPr>
                <w:sz w:val="19"/>
              </w:rPr>
              <w:t>[5 business days]</w:t>
            </w:r>
          </w:p>
        </w:tc>
      </w:tr>
    </w:tbl>
    <w:p>
      <w:pPr>
        <w:keepNext/>
        <w:spacing w:before="200"/>
      </w:pPr>
      <w:r>
        <w:rPr>
          <w:b/>
          <w:color w:val="158140"/>
          <w:sz w:val="26"/>
        </w:rPr>
        <w:t xml:space="preserve">4. </w:t>
      </w:r>
      <w:r>
        <w:rPr>
          <w:b/>
          <w:color w:val="131B25"/>
          <w:sz w:val="26"/>
        </w:rPr>
        <w:t>How Service Is Measured and Reported</w:t>
      </w:r>
    </w:p>
    <w:p>
      <w:r>
        <w:t>Availability will be measured by [external monitoring provider], checking [Service URL] every [60 seconds] from [three] locations. Downtime is recorded when [two locations] confirm the service is unavailable. The Provider will send a report within [five business days] after each [calendar month].</w:t>
      </w:r>
    </w:p>
    <w:p>
      <w:pPr>
        <w:keepNext/>
        <w:spacing w:before="200"/>
      </w:pPr>
      <w:r>
        <w:rPr>
          <w:b/>
          <w:color w:val="158140"/>
          <w:sz w:val="26"/>
        </w:rPr>
        <w:t xml:space="preserve">5. </w:t>
      </w:r>
      <w:r>
        <w:rPr>
          <w:b/>
          <w:color w:val="131B25"/>
          <w:sz w:val="26"/>
        </w:rPr>
        <w:t>Exclusions</w:t>
      </w:r>
    </w:p>
    <w:p>
      <w:r>
        <w:t>Unavailability excludes (a) scheduled maintenance announced at least [48 hours] in advance, up to [four hours] per month; (b) [specified events outside the Provider's control]; and (c) failures caused by the Customer's systems, configuration, or misuse.</w:t>
      </w:r>
    </w:p>
    <w:p>
      <w:pPr>
        <w:keepNext/>
        <w:spacing w:before="200"/>
      </w:pPr>
      <w:r>
        <w:rPr>
          <w:b/>
          <w:color w:val="158140"/>
          <w:sz w:val="26"/>
        </w:rPr>
        <w:t xml:space="preserve">6. </w:t>
      </w:r>
      <w:r>
        <w:rPr>
          <w:b/>
          <w:color w:val="131B25"/>
          <w:sz w:val="26"/>
        </w:rPr>
        <w:t>Service Credits and Remedies</w:t>
      </w:r>
    </w:p>
    <w:p>
      <w:r>
        <w:t>If monthly availability falls below [99.99%], the Customer may claim a credit against the next invoice:</w:t>
      </w:r>
    </w:p>
    <w:tbl>
      <w:tblPr>
        <w:tblStyle w:val="TableGrid"/>
        <w:tblW w:type="auto" w:w="0"/>
        <w:tblLayout w:type="fixed"/>
        <w:tblLook w:firstColumn="1" w:firstRow="1" w:lastColumn="0" w:lastRow="0" w:noHBand="0" w:noVBand="1" w:val="04A0"/>
      </w:tblPr>
      <w:tblGrid>
        <w:gridCol w:w="4819"/>
        <w:gridCol w:w="4819"/>
      </w:tblGrid>
      <w:tr>
        <w:tc>
          <w:tcPr>
            <w:tcW w:type="dxa" w:w="4819"/>
            <w:shd w:val="clear" w:color="auto" w:fill="131B25"/>
          </w:tcPr>
          <w:p>
            <w:pPr>
              <w:spacing w:before="60" w:after="60"/>
            </w:pPr>
            <w:r>
              <w:rPr>
                <w:b/>
                <w:color w:val="FFFFFF"/>
                <w:sz w:val="19"/>
              </w:rPr>
              <w:t>Monthly availability</w:t>
            </w:r>
          </w:p>
        </w:tc>
        <w:tc>
          <w:tcPr>
            <w:tcW w:type="dxa" w:w="4819"/>
            <w:shd w:val="clear" w:color="auto" w:fill="131B25"/>
          </w:tcPr>
          <w:p>
            <w:pPr>
              <w:spacing w:before="60" w:after="60"/>
            </w:pPr>
            <w:r>
              <w:rPr>
                <w:b/>
                <w:color w:val="FFFFFF"/>
                <w:sz w:val="19"/>
              </w:rPr>
              <w:t>Example credit</w:t>
            </w:r>
          </w:p>
        </w:tc>
      </w:tr>
      <w:tr>
        <w:tc>
          <w:tcPr>
            <w:tcW w:type="dxa" w:w="4819"/>
          </w:tcPr>
          <w:p>
            <w:pPr>
              <w:spacing w:before="60" w:after="60"/>
            </w:pPr>
            <w:r>
              <w:rPr>
                <w:sz w:val="19"/>
              </w:rPr>
              <w:t>99.9% to below 99.99%</w:t>
            </w:r>
          </w:p>
        </w:tc>
        <w:tc>
          <w:tcPr>
            <w:tcW w:type="dxa" w:w="4819"/>
          </w:tcPr>
          <w:p>
            <w:pPr>
              <w:spacing w:before="60" w:after="60"/>
            </w:pPr>
            <w:r>
              <w:rPr>
                <w:sz w:val="19"/>
              </w:rPr>
              <w:t>[10% of monthly fee]</w:t>
            </w:r>
          </w:p>
        </w:tc>
      </w:tr>
      <w:tr>
        <w:tc>
          <w:tcPr>
            <w:tcW w:type="dxa" w:w="4819"/>
          </w:tcPr>
          <w:p>
            <w:pPr>
              <w:spacing w:before="60" w:after="60"/>
            </w:pPr>
            <w:r>
              <w:rPr>
                <w:sz w:val="19"/>
              </w:rPr>
              <w:t>99.0% to below 99.9%</w:t>
            </w:r>
          </w:p>
        </w:tc>
        <w:tc>
          <w:tcPr>
            <w:tcW w:type="dxa" w:w="4819"/>
          </w:tcPr>
          <w:p>
            <w:pPr>
              <w:spacing w:before="60" w:after="60"/>
            </w:pPr>
            <w:r>
              <w:rPr>
                <w:sz w:val="19"/>
              </w:rPr>
              <w:t>[25% of monthly fee]</w:t>
            </w:r>
          </w:p>
        </w:tc>
      </w:tr>
      <w:tr>
        <w:tc>
          <w:tcPr>
            <w:tcW w:type="dxa" w:w="4819"/>
          </w:tcPr>
          <w:p>
            <w:pPr>
              <w:spacing w:before="60" w:after="60"/>
            </w:pPr>
            <w:r>
              <w:rPr>
                <w:sz w:val="19"/>
              </w:rPr>
              <w:t>Below 99.0%</w:t>
            </w:r>
          </w:p>
        </w:tc>
        <w:tc>
          <w:tcPr>
            <w:tcW w:type="dxa" w:w="4819"/>
          </w:tcPr>
          <w:p>
            <w:pPr>
              <w:spacing w:before="60" w:after="60"/>
            </w:pPr>
            <w:r>
              <w:rPr>
                <w:sz w:val="19"/>
              </w:rPr>
              <w:t>[50% of monthly fee]</w:t>
            </w:r>
          </w:p>
        </w:tc>
      </w:tr>
    </w:tbl>
    <w:p>
      <w:r>
        <w:t>Remedies: Claims must be submitted within [30 days] after the affected month. Credits are capped at [50%] of that month's fee. [Specify whether service credits are the Customer's sole and exclusive remedy for missed service levels, or whether other remedies remain available under the main service agreement. Have this provision reviewed by legal counsel.]</w:t>
      </w:r>
    </w:p>
    <w:p>
      <w:pPr>
        <w:keepNext/>
        <w:spacing w:before="200"/>
      </w:pPr>
      <w:r>
        <w:rPr>
          <w:b/>
          <w:color w:val="158140"/>
          <w:sz w:val="26"/>
        </w:rPr>
        <w:t xml:space="preserve">7. </w:t>
      </w:r>
      <w:r>
        <w:rPr>
          <w:b/>
          <w:color w:val="131B25"/>
          <w:sz w:val="26"/>
        </w:rPr>
        <w:t>Escalation Path</w:t>
      </w:r>
    </w:p>
    <w:p>
      <w:r>
        <w:t>If an incident exceeds its resolution target, the Customer may contact Level 1: [Support team, contact details], response within [one hour]; Level 2: [Support manager], within [two hours]; and Level 3: [Operations lead], within [four hours].</w:t>
      </w:r>
    </w:p>
    <w:p>
      <w:pPr>
        <w:keepNext/>
        <w:spacing w:before="200"/>
      </w:pPr>
      <w:r>
        <w:rPr>
          <w:b/>
          <w:color w:val="158140"/>
          <w:sz w:val="26"/>
        </w:rPr>
        <w:t xml:space="preserve">8. </w:t>
      </w:r>
      <w:r>
        <w:rPr>
          <w:b/>
          <w:color w:val="131B25"/>
          <w:sz w:val="26"/>
        </w:rPr>
        <w:t>Responsibilities</w:t>
      </w:r>
    </w:p>
    <w:p>
      <w:r>
        <w:t>The Provider will meet the targets in Section 3, announce planned maintenance, and supply the reports in Section 4. The Customer will report incidents through [support channel], provide reasonable access for troubleshooting, and pay invoices under the agreed terms.</w:t>
      </w:r>
    </w:p>
    <w:p>
      <w:pPr>
        <w:keepNext/>
        <w:spacing w:before="200"/>
      </w:pPr>
      <w:r>
        <w:rPr>
          <w:b/>
          <w:color w:val="158140"/>
          <w:sz w:val="26"/>
        </w:rPr>
        <w:t xml:space="preserve">9. </w:t>
      </w:r>
      <w:r>
        <w:rPr>
          <w:b/>
          <w:color w:val="131B25"/>
          <w:sz w:val="26"/>
        </w:rPr>
        <w:t>Review, Changes, and Termination</w:t>
      </w:r>
    </w:p>
    <w:p>
      <w:r>
        <w:t>The parties will review this Agreement every [12 months]. Changes require written agreement and take effect on [agreed date]. Either party may terminate with [60 days'] written notice, subject to [applicable contract terms].</w:t>
      </w:r>
    </w:p>
    <w:p>
      <w:pPr>
        <w:keepNext/>
        <w:spacing w:before="200"/>
      </w:pPr>
      <w:r>
        <w:rPr>
          <w:b/>
          <w:color w:val="158140"/>
          <w:sz w:val="26"/>
        </w:rPr>
        <w:t xml:space="preserve">10. </w:t>
      </w:r>
      <w:r>
        <w:rPr>
          <w:b/>
          <w:color w:val="131B25"/>
          <w:sz w:val="26"/>
        </w:rPr>
        <w:t>Signatures</w:t>
      </w:r>
    </w:p>
    <w:tbl>
      <w:tblPr>
        <w:tblStyle w:val="TableGrid"/>
        <w:tblW w:type="auto" w:w="0"/>
        <w:tblLayout w:type="fixed"/>
        <w:tblLook w:firstColumn="1" w:firstRow="1" w:lastColumn="0" w:lastRow="0" w:noHBand="0" w:noVBand="1" w:val="04A0"/>
      </w:tblPr>
      <w:tblGrid>
        <w:gridCol w:w="3213"/>
        <w:gridCol w:w="3213"/>
        <w:gridCol w:w="3213"/>
      </w:tblGrid>
      <w:tr>
        <w:tc>
          <w:tcPr>
            <w:tcW w:type="dxa" w:w="3213"/>
            <w:shd w:val="clear" w:color="auto" w:fill="131B25"/>
          </w:tcPr>
          <w:p>
            <w:pPr>
              <w:spacing w:before="60" w:after="60"/>
            </w:pPr>
            <w:r>
              <w:rPr>
                <w:b/>
                <w:color w:val="FFFFFF"/>
                <w:sz w:val="19"/>
              </w:rPr>
            </w:r>
          </w:p>
        </w:tc>
        <w:tc>
          <w:tcPr>
            <w:tcW w:type="dxa" w:w="3213"/>
            <w:shd w:val="clear" w:color="auto" w:fill="131B25"/>
          </w:tcPr>
          <w:p>
            <w:pPr>
              <w:spacing w:before="60" w:after="60"/>
            </w:pPr>
            <w:r>
              <w:rPr>
                <w:b/>
                <w:color w:val="FFFFFF"/>
                <w:sz w:val="19"/>
              </w:rPr>
              <w:t>Provider</w:t>
            </w:r>
          </w:p>
        </w:tc>
        <w:tc>
          <w:tcPr>
            <w:tcW w:type="dxa" w:w="3213"/>
            <w:shd w:val="clear" w:color="auto" w:fill="131B25"/>
          </w:tcPr>
          <w:p>
            <w:pPr>
              <w:spacing w:before="60" w:after="60"/>
            </w:pPr>
            <w:r>
              <w:rPr>
                <w:b/>
                <w:color w:val="FFFFFF"/>
                <w:sz w:val="19"/>
              </w:rPr>
              <w:t>Customer</w:t>
            </w:r>
          </w:p>
        </w:tc>
      </w:tr>
      <w:tr>
        <w:tc>
          <w:tcPr>
            <w:tcW w:type="dxa" w:w="3213"/>
          </w:tcPr>
          <w:p>
            <w:pPr>
              <w:spacing w:before="60" w:after="240"/>
            </w:pPr>
            <w:r>
              <w:rPr>
                <w:sz w:val="19"/>
              </w:rPr>
              <w:t>Name</w:t>
            </w:r>
          </w:p>
        </w:tc>
        <w:tc>
          <w:tcPr>
            <w:tcW w:type="dxa" w:w="3213"/>
          </w:tcPr>
          <w:p>
            <w:pPr>
              <w:spacing w:before="60" w:after="240"/>
            </w:pPr>
            <w:r>
              <w:rPr>
                <w:sz w:val="19"/>
              </w:rPr>
              <w:t>[Name]</w:t>
            </w:r>
          </w:p>
        </w:tc>
        <w:tc>
          <w:tcPr>
            <w:tcW w:type="dxa" w:w="3213"/>
          </w:tcPr>
          <w:p>
            <w:pPr>
              <w:spacing w:before="60" w:after="240"/>
            </w:pPr>
            <w:r>
              <w:rPr>
                <w:sz w:val="19"/>
              </w:rPr>
              <w:t>[Name]</w:t>
            </w:r>
          </w:p>
        </w:tc>
      </w:tr>
      <w:tr>
        <w:tc>
          <w:tcPr>
            <w:tcW w:type="dxa" w:w="3213"/>
          </w:tcPr>
          <w:p>
            <w:pPr>
              <w:spacing w:before="60" w:after="240"/>
            </w:pPr>
            <w:r>
              <w:rPr>
                <w:sz w:val="19"/>
              </w:rPr>
              <w:t>Role</w:t>
            </w:r>
          </w:p>
        </w:tc>
        <w:tc>
          <w:tcPr>
            <w:tcW w:type="dxa" w:w="3213"/>
          </w:tcPr>
          <w:p>
            <w:pPr>
              <w:spacing w:before="60" w:after="240"/>
            </w:pPr>
            <w:r>
              <w:rPr>
                <w:sz w:val="19"/>
              </w:rPr>
              <w:t>[Title]</w:t>
            </w:r>
          </w:p>
        </w:tc>
        <w:tc>
          <w:tcPr>
            <w:tcW w:type="dxa" w:w="3213"/>
          </w:tcPr>
          <w:p>
            <w:pPr>
              <w:spacing w:before="60" w:after="240"/>
            </w:pPr>
            <w:r>
              <w:rPr>
                <w:sz w:val="19"/>
              </w:rPr>
              <w:t>[Title]</w:t>
            </w:r>
          </w:p>
        </w:tc>
      </w:tr>
      <w:tr>
        <w:tc>
          <w:tcPr>
            <w:tcW w:type="dxa" w:w="3213"/>
          </w:tcPr>
          <w:p>
            <w:pPr>
              <w:spacing w:before="60" w:after="240"/>
            </w:pPr>
            <w:r>
              <w:rPr>
                <w:sz w:val="19"/>
              </w:rPr>
              <w:t>Signature</w:t>
            </w:r>
          </w:p>
        </w:tc>
        <w:tc>
          <w:tcPr>
            <w:tcW w:type="dxa" w:w="3213"/>
          </w:tcPr>
          <w:p>
            <w:pPr>
              <w:spacing w:before="60" w:after="240"/>
            </w:pPr>
            <w:r>
              <w:rPr>
                <w:sz w:val="19"/>
              </w:rPr>
              <w:t>[Signature]</w:t>
            </w:r>
          </w:p>
        </w:tc>
        <w:tc>
          <w:tcPr>
            <w:tcW w:type="dxa" w:w="3213"/>
          </w:tcPr>
          <w:p>
            <w:pPr>
              <w:spacing w:before="60" w:after="240"/>
            </w:pPr>
            <w:r>
              <w:rPr>
                <w:sz w:val="19"/>
              </w:rPr>
              <w:t>[Signature]</w:t>
            </w:r>
          </w:p>
        </w:tc>
      </w:tr>
      <w:tr>
        <w:tc>
          <w:tcPr>
            <w:tcW w:type="dxa" w:w="3213"/>
          </w:tcPr>
          <w:p>
            <w:pPr>
              <w:spacing w:before="60" w:after="240"/>
            </w:pPr>
            <w:r>
              <w:rPr>
                <w:sz w:val="19"/>
              </w:rPr>
              <w:t>Date</w:t>
            </w:r>
          </w:p>
        </w:tc>
        <w:tc>
          <w:tcPr>
            <w:tcW w:type="dxa" w:w="3213"/>
          </w:tcPr>
          <w:p>
            <w:pPr>
              <w:spacing w:before="60" w:after="240"/>
            </w:pPr>
            <w:r>
              <w:rPr>
                <w:sz w:val="19"/>
              </w:rPr>
              <w:t>[Date]</w:t>
            </w:r>
          </w:p>
        </w:tc>
        <w:tc>
          <w:tcPr>
            <w:tcW w:type="dxa" w:w="3213"/>
          </w:tcPr>
          <w:p>
            <w:pPr>
              <w:spacing w:before="60" w:after="240"/>
            </w:pPr>
            <w:r>
              <w:rPr>
                <w:sz w:val="19"/>
              </w:rPr>
              <w:t>[Date]</w:t>
            </w:r>
          </w:p>
        </w:tc>
      </w:tr>
    </w:tbl>
    <w:p>
      <w:pPr>
        <w:spacing w:before="320"/>
      </w:pPr>
      <w:r>
        <w:rPr>
          <w:b/>
          <w:color w:val="131B25"/>
        </w:rPr>
        <w:t xml:space="preserve">Track your SLA with UptimeRobot. </w:t>
      </w:r>
      <w:r>
        <w:t xml:space="preserve">Free plan: 50 monitors and 1 SLA policy, no credit card required. </w:t>
      </w:r>
      <w:r>
        <w:rPr>
          <w:b/>
          <w:color w:val="158140"/>
        </w:rPr>
        <w:t>uptimerobot.com/sla-monitoring</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A5768"/>
        <w:sz w:val="16"/>
      </w:rPr>
      <w:t>UptimeRobot · uptimerobot.com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152000" cy="353280"/>
          <wp:docPr id="1" name="Picture 1"/>
          <wp:cNvGraphicFramePr>
            <a:graphicFrameLocks noChangeAspect="1"/>
          </wp:cNvGraphicFramePr>
          <a:graphic>
            <a:graphicData uri="http://schemas.openxmlformats.org/drawingml/2006/picture">
              <pic:pic>
                <pic:nvPicPr>
                  <pic:cNvPr id="0" name="uptimerobot-logo-allwhite-15.png"/>
                  <pic:cNvPicPr/>
                </pic:nvPicPr>
                <pic:blipFill>
                  <a:blip r:embed="rId1"/>
                  <a:stretch>
                    <a:fillRect/>
                  </a:stretch>
                </pic:blipFill>
                <pic:spPr>
                  <a:xfrm>
                    <a:off x="0" y="0"/>
                    <a:ext cx="1152000" cy="353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C26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